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224AA3A6" w:rsidR="00185B72" w:rsidRPr="00185B72" w:rsidRDefault="007801CB" w:rsidP="00185B72">
      <w:pPr>
        <w:jc w:val="right"/>
        <w:rPr>
          <w:b/>
          <w:bCs/>
        </w:rPr>
      </w:pPr>
      <w:r>
        <w:rPr>
          <w:b/>
          <w:bCs/>
        </w:rPr>
        <w:t>EK-H</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A8E22" w14:textId="77777777" w:rsidR="00F355B8" w:rsidRDefault="00F355B8" w:rsidP="00CC2941">
      <w:pPr>
        <w:spacing w:after="0" w:line="240" w:lineRule="auto"/>
      </w:pPr>
      <w:r>
        <w:separator/>
      </w:r>
    </w:p>
  </w:endnote>
  <w:endnote w:type="continuationSeparator" w:id="0">
    <w:p w14:paraId="3B4D6D26" w14:textId="77777777" w:rsidR="00F355B8" w:rsidRDefault="00F355B8"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29326" w14:textId="77777777" w:rsidR="00F355B8" w:rsidRDefault="00F355B8" w:rsidP="00CC2941">
      <w:pPr>
        <w:spacing w:after="0" w:line="240" w:lineRule="auto"/>
      </w:pPr>
      <w:r>
        <w:separator/>
      </w:r>
    </w:p>
  </w:footnote>
  <w:footnote w:type="continuationSeparator" w:id="0">
    <w:p w14:paraId="1D81D5F2" w14:textId="77777777" w:rsidR="00F355B8" w:rsidRDefault="00F355B8"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9429A"/>
    <w:rsid w:val="00505F47"/>
    <w:rsid w:val="006624CF"/>
    <w:rsid w:val="006E7CBB"/>
    <w:rsid w:val="00740D24"/>
    <w:rsid w:val="007801CB"/>
    <w:rsid w:val="00797E55"/>
    <w:rsid w:val="00852014"/>
    <w:rsid w:val="008D75BC"/>
    <w:rsid w:val="008F2EDB"/>
    <w:rsid w:val="0091160E"/>
    <w:rsid w:val="00A6630C"/>
    <w:rsid w:val="00A813D2"/>
    <w:rsid w:val="00AC3216"/>
    <w:rsid w:val="00AC40A2"/>
    <w:rsid w:val="00AF7DFC"/>
    <w:rsid w:val="00BA40AC"/>
    <w:rsid w:val="00BE358D"/>
    <w:rsid w:val="00C92E28"/>
    <w:rsid w:val="00CC2941"/>
    <w:rsid w:val="00D473D1"/>
    <w:rsid w:val="00D874D9"/>
    <w:rsid w:val="00DE4D9D"/>
    <w:rsid w:val="00E12374"/>
    <w:rsid w:val="00E43E98"/>
    <w:rsid w:val="00E55413"/>
    <w:rsid w:val="00F355B8"/>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